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AC" w:rsidRPr="004E20AC" w:rsidRDefault="004E20AC" w:rsidP="004E20A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0AC">
        <w:rPr>
          <w:rFonts w:ascii="Times New Roman" w:eastAsia="Times New Roman" w:hAnsi="Times New Roman" w:cs="Times New Roman"/>
          <w:b/>
          <w:sz w:val="28"/>
        </w:rPr>
        <w:t xml:space="preserve">Показатели оценки условий реализации </w:t>
      </w:r>
    </w:p>
    <w:p w:rsidR="004E20AC" w:rsidRPr="004E20AC" w:rsidRDefault="004E20AC" w:rsidP="004E20A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0AC">
        <w:rPr>
          <w:rFonts w:ascii="Times New Roman" w:eastAsia="Times New Roman" w:hAnsi="Times New Roman" w:cs="Times New Roman"/>
          <w:b/>
          <w:sz w:val="28"/>
        </w:rPr>
        <w:t>основной образовательной пр</w:t>
      </w:r>
      <w:r>
        <w:rPr>
          <w:rFonts w:ascii="Times New Roman" w:eastAsia="Times New Roman" w:hAnsi="Times New Roman" w:cs="Times New Roman"/>
          <w:b/>
          <w:sz w:val="28"/>
        </w:rPr>
        <w:t>ограммы МБДОУ № 1 «Насып»</w:t>
      </w:r>
    </w:p>
    <w:p w:rsidR="004E20AC" w:rsidRPr="004E20AC" w:rsidRDefault="004E20AC" w:rsidP="004E20A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0AC">
        <w:rPr>
          <w:rFonts w:ascii="Times New Roman" w:eastAsia="Times New Roman" w:hAnsi="Times New Roman" w:cs="Times New Roman"/>
          <w:b/>
          <w:sz w:val="28"/>
        </w:rPr>
        <w:t>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953"/>
        <w:gridCol w:w="1099"/>
      </w:tblGrid>
      <w:tr w:rsidR="004E20AC" w:rsidRPr="004E20AC" w:rsidTr="00181EC8">
        <w:trPr>
          <w:tblHeader/>
        </w:trPr>
        <w:tc>
          <w:tcPr>
            <w:tcW w:w="280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4E20AC" w:rsidRPr="004E20AC" w:rsidTr="00181EC8">
        <w:tc>
          <w:tcPr>
            <w:tcW w:w="9854" w:type="dxa"/>
            <w:gridSpan w:val="3"/>
            <w:shd w:val="clear" w:color="auto" w:fill="B2A1C7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Психолого-педагогические условия</w:t>
            </w: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1.1 Психолого-педагогическое сопровождение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 штате отсутствует педагог-психолог или не заключён договор со структурой психолого-медико-социальной поддержки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деятельность педагога-психолога ограничивается диагностикой и консультативной работой; при отсутствии в штате педагога-психолога имеется договор со структурой психолого-медико-социальной поддержки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педагога-психолога включает весь спектр направлений деятельности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целостной системы психолого-педагогического сопровождения воспитанников и их семей в условиях сотрудничества всех специалистов МБДОУ 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1.2 Доступность образовательных услуг для детей с ОВЗ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 возможности для оказания образовательных услуг для детей с ОВЗ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 ОО имеется информация о готовности организации к оказанию образовательных услуг для детей с ОВЗ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 ОО имеется информация о готовности организации к оказанию образовательных услуг для детей с ОВЗ; оказываются образовательные услуги детям с ОВЗ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 официальном сайте имеется информация о готовности организации к оказанию образовательных услуг для детей с ОВЗ; реализуется целостная система оказания образовательные услуги детям с ОВЗ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1.3 Посещаемость (для детей от 3 до 7 лет)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 ниже 60%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 составляет от 61% до 70%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 составляет от 71% до 80%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 свыше 80%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left w:val="nil"/>
              <w:bottom w:val="nil"/>
              <w:right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proofErr w:type="gramStart"/>
            <w:r w:rsidRPr="004E20AC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 Вариативные формы дошкольного образования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(ЦИПР, ГКП, семейный детский сад,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лекотека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, служба ранней помощи)</w:t>
            </w: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вариативные формы дошкольного образования не представлены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из вариативных форм дошкольного образования представлена одна (одна единица)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представлено 2 вариативные формы дошкольного образования (или две единицы)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представлено более 2-х вариативных формы дошкольного образования (или более двух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единицы)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 Предоставление дополнительных образовательных услуг, в том числе платных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услуги не предоставляются; мониторинг потребностей родителей в услугах не ведётся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услуги предоставляются без учёта мнения (запросов) родителей; мониторинг потребностей родителей в услугах не ведётся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2-3 дополнительные услуги предоставляются; мнение (запросов) родителей частично учтены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 и более дополнительные услуги предоставляются с учётом мнения (запросов) родителей; ведётся мониторинг потребностей родителей в услугах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1.6 Взаимодействие с учреждениями образования, культуры и спорта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иными организациями. Предоставление возможностей для социализации детей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использованием социокультурной среды 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модели взаимодействия с организациями, договоров о сотрудничестве, преемственности в дальнейшей социализации детей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формальной модели взаимодействия, договоров о сотрудничестве, бессистемный учет выпускников, не отслеживание результатов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образовательной системы взаимодействия и социального партнерства с учреждениями города; наличие соответствующей документации и программ сотрудничества; качественный учет результативности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социализации выпускников ДОУ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предыдущие + сетевое, межрегиональное взаимодействие с учреждениями образования, культуры и спорта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1.7 Создание условий для самостоятельной деятельности детей, учет индивидуальных особенностей воспитанников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несоответствие требований к психолого-педагогическим условиям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п. 3.2.1.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всем показателям (приложение 1)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частичное соответствие требований к психолого-педагогическим условиям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согласно п. 3.2.1.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(по 4 показателям) (приложение 1)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частичное соответствие требований к психолого-педагогическим условиям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п. 3.2.1. ФГОС ДО (более 4 показателей) (приложение 1)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требований к психолого-педагогическим условиям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п. 3.2.1.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всем показателям (приложение 1)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1.8 Создание условий для успешного перехода ребенка на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следующий уровень образования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структуре ДОУ дошкольная и школьная ступени работают независимо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структуре образовательной организации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предусмотрены (включены в план) совместные мероприятия для детей дошкольной и школьной ступеней (1-2 мероприятия)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структуре образовательной организации предусмотрены (указаны в плане) совместные мероприятия для детей дошкольной и школьной ступеней (3 и более мероприятий)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структуре образовательной организации предусмотрены совместные мероприятия, досуги и совместная деятельность детей дошкольной и школьной ступеней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1.9 Удовлетворенность родителей наличием в образовательной организации условий для комфортного пребывания детей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 обслуживания,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-образовательные мероприятия, нормативы потребления, требования к персоналу не удовлетворяют родителей качеством предоставления услуг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не удовлетворяет родителей одно из направлений качества предоставления услуг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не удовлетворяет родителей 2 и более из направлений качества предоставления услуг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условия обслуживания,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воспитательно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-образовательные мероприятия, нормативы потребления, требования к персоналу полностью удовлетворяют родителей качеством предоставления услуг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9854" w:type="dxa"/>
            <w:gridSpan w:val="3"/>
            <w:shd w:val="clear" w:color="auto" w:fill="B2A1C7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Кадровые условия</w:t>
            </w: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2.1Укомплектованность педагогическими кадрами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вакансии (более 10%) от необходимого штата педагогов для реализации ООП ДО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вакансии (не более 10%) от необходимого штата педагогов для реализации ООП ДО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полного штата педагогов для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ОВЗ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2.2 Образовательный ценз педагогических работников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20% педагогов имеют высшее профессиональное образование (или получают его) по профилю или переподготовку по профилю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 20% до 40% педагогов имеют высшее профессиональное образование (или получают его) по профилю или переподготовку по профилю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 40% до 70% педагогов имеют высшее профессиональное образование по профилю или переподготовку по профилю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более 70% педагогов имеют высшее профессиональное образование по профилю или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переподготовку по профилю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 Уровень квалификации педагогических кадров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20% педагогов имеют квалификационную категорию (или получают её)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 20% до 40% педагогов имеют квалификационную категорию (или получают её)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 40% до 70% педагогов имеют квалификационную категорию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70% педагогов имеют квалификационную категорию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2.4 Непрерывность профессионального образования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70% педагогов получили дополнительное профессиональное образование (переподготовку или повышение квалификации) в соответствующих объёмах в соответствующие сроки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 70% до 90% педагогов получили дополнительное профессиональное образование (переподготовку или повышение квалификации) в соответствующих объёмах в соответствующие сроки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90% педагогов получили дополнительное профессиональное образование (переподготовку или повышение квалификации) в соответствующих объёмах в соответствующие сроки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100% педагогов получили дополнительное профессиональное образование (переподготовку или повышение квалификации) в соответствующих объёмах в соответствующие сроки; тематика отвечает проблемам, выявленным при самоанализе ДОУ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9854" w:type="dxa"/>
            <w:gridSpan w:val="3"/>
            <w:shd w:val="clear" w:color="auto" w:fill="B2A1C7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Развивающая предметно-пространственная среда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3.1 Развивающая предметно-пространственная среда образовательной организации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РППС в ДОУ не соответствует требованиям п. 3.3.4. ФГОС ДО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основном соответствует требованиям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полностью соответствует требованиям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но учитываются не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все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принципы построения среды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полностью соответствует требованиям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 учитываются все принципы построения среды: содержательно-насыщенна, трансформируема,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полифункциональна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 вариативна, доступна и безопасна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 Соответствие игровых пространств, игрушек и оборудования возрастным особенностям, возможностям и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интересам детей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не соответствуют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возрастным особенностям и возможностям детей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не полностью соответствуют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возрастным особенностям и возможностям детей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соответствуют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возрастным особенностям и возможностям детей; обеспечен свободный доступ к игрушкам, их достаточное количество и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разнообразие, соответствие возрасту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полностью соответствуют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возрастным особенностям и возможностям детей, учитывают индивидуальные потребности и интересы детей группы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 Организация образовательного пространства и разнообразие материалов, оборудования, инвентаря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(в помещениях)</w:t>
            </w: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образовательного пространства в здании не соответствует требованиям ФГОС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частичная организация образовательного пространства в помещениях, обеспечивающая игровую, познавательную активность детей без учета возможности самовыражения ребенка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tcBorders>
              <w:top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необходимое и достаточное наполнение предметно-развивающей среды (в т. ч.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образовательной организации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 Организация образовательного пространства и разнообразие материалов, оборудования, инвентаря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(на участке)</w:t>
            </w: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образовательного пространства на участке не соответствует требованиям ФГОС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частичная организация образовательного пространства на участке ДОУ, не обеспечивающая в полной мере игровую, познавательную исследовательскую и творческую активность всех воспитанников, экспериментирование с доступными детям материалами (в т. ч. песком, водой); двигательную активность через достаточное количество подвижных игр и соревнований; отсутствие достаточного количества предметно-пространственного окружения (оборудование, игровые модули, атрибуты)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частичная организация образовательного пространства на участке, обеспечивающая игровую, познавательную активность детей без учета возможности самовыражения ребенка и соответствующего эмоционального благополучия детей во взаимодействии с предметно-пространственным окружением на участке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необходимое и достаточное наполнение предметно-пространственного окружения на участке, (в том числе экспериментирование с доступными детям материалами),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обеспечивающей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возможность самовыражения воспитанников,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индивидуальный комфорт и эмоциональное благополучие каждого ребенка </w:t>
            </w:r>
          </w:p>
        </w:tc>
        <w:tc>
          <w:tcPr>
            <w:tcW w:w="1099" w:type="dxa"/>
            <w:tcBorders>
              <w:top w:val="nil"/>
            </w:tcBorders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9854" w:type="dxa"/>
            <w:gridSpan w:val="3"/>
            <w:shd w:val="clear" w:color="auto" w:fill="B2A1C7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 Материально-технические условия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 </w:t>
            </w:r>
            <w:r w:rsidRPr="004E2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Состояние и содержание территории, зданий и помещений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имеются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два и более предписаний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одной и той же позиции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соответствуют санитарно-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эпидемологическим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правилам и нормативам, но имеется предписание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соответствуют санитарно-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эпидемологическим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правилам и нормативам без предписаний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соответствуют санитарно-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эпидемологическим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правилам и нормативам без предписаний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итогам не менее двух заключений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 </w:t>
            </w:r>
            <w:r w:rsidRPr="004E2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Пожарная безопасность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имеются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два и более предписаний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МЧС по одной и той же позиции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соответствует нормам пожарной безопасности, но имеется предписание МЧС 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соответствует нормам пожарной безопасности без предписаний МЧС 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 нормам пожарной безопасности без предписаний МЧС (по итогам не менее двух заключений) и имеется автоматическая пожарная сигнализация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 </w:t>
            </w:r>
            <w:r w:rsidRPr="004E2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здания и территории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предписание, отсутствуют домофоны, запирающие устройства, необходимая документация, не ведётся видеонаблюдение, есть повреждения ограждения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 требованиям безопасности: здание и территория охраняются, имеются запирающие устройства, отсутствуют предписания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 требованиям безопасности: здание и территория охраняются, имеются домофоны, запирающие устройства, отсутствуют предписания, ведётся видеонаблюдение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 требованиям безопасности: здание и территория охраняются, нет повреждения ограждений ограждения территории, имеются пост охраны, домофоны и запирающие устройства, в наличии тревожная кнопка, ведётся видеонаблюдение, отсутствуют предписания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4.4 </w:t>
            </w:r>
            <w:r w:rsidRPr="004E2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Оснащенность помещений образовательной организации для работы медицинского </w:t>
            </w:r>
            <w:r w:rsidRPr="004E2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персонала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ДОУ отсутствует медицинский кабинет, соответствующий требованиям СанПиН, и договор с детской поликлиникой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лицензированный медицинский кабинет и договор с детской поликлиникой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имеется лицензированный медицинский кабинет, соответствующий требованиям СанПиН: для работы медицинского персонала в МБДОУ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 ,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представлен специально оборудованный медицинский и процедурный кабинеты; в кабинете старшей медсестры хранятся следующие документы, но не в установленном порядке: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медицинская документация в соответствии с номенклатурой дел;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медицинские карты детей (форма № 026/у-2000);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сертификаты о профилактических прививках детей (форма № 156/у-93);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личные медицинские (санитарные) книжки сотрудников.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  предоставила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МБДОУ 1; ведётся просветительская работа с педагогическим коллективом и родителями; для работы медицинского персонала в МБДОУ  представлен специально оборудованный медицинский блок, включающий медицинский и процедурный кабинеты, изолятор. Медицинский блок оборудован в соответствии с санитарными нормами медицинской техникой; специальным оборудованием и инструментарием, медицинским бельём, перевязочным и вспомогательным материалом, специальной мебелью. В кабинете медсестры в установленном порядке хранятся: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медицинская документация в соответствии с номенклатурой дел;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медицинские карты детей (форма № 026/у-2000);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сертификаты о профилактических прививках детей (форма № 156/у-93);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личные медицинские (санитарные) книжки сотрудников.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4.5 Контроль организации питания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не осуществляется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контроль осуществляется бракеражной комиссией (комиссией по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контролю за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питанием) эпизодически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осуществляется бракеражной комиссией (комиссией по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питанием) систематически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контроль осуществляется бракеражной комиссией (комиссией по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контролю за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питанием) </w:t>
            </w: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lastRenderedPageBreak/>
              <w:t>систематически с привлечением родительской общественности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4.6 Материально-техническое обеспечение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п. 3.5.1. ФГОС ДО не соблюдаются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п. 3.5.1.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соответствуют по 3 и более показателям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частичное несоответствие требования п. 3.5.1. ФГОС ДО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п. 3.5.1. ФГОС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 соответствуют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полностью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rPr>
          <w:trHeight w:val="70"/>
        </w:trPr>
        <w:tc>
          <w:tcPr>
            <w:tcW w:w="2802" w:type="dxa"/>
            <w:vMerge w:val="restart"/>
            <w:tcBorders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4.7 Информационное обеспечение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информационное обеспечение отсутствует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tcBorders>
              <w:bottom w:val="nil"/>
            </w:tcBorders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неоднозначность (т. е. разная по одному и тому же направлению) представления информации в различных информационных источниках (стенд, документы, письма, сайт). 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Неактуальность, недостоверность, нарушение сроков предоставления и передачи информации.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  <w:bottom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наличие необходимой информации, но не соответствует формату подачи (сайт – несоответствие техническим и </w:t>
            </w:r>
            <w:proofErr w:type="spell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документоведческим</w:t>
            </w:r>
            <w:proofErr w:type="spell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требованиям).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tcBorders>
              <w:top w:val="nil"/>
            </w:tcBorders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своевременность, достоверность, актуальность предоставляемой информации и передача на всех носителях (своевременная регистрация, размещение на информационных стендах, сайтах). </w:t>
            </w:r>
          </w:p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Своевременное доведение сведений до исполнителей и контролирующих органов.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4.8 Оснащенность информационно-коммуникативными средствами, используемыми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образования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ИКС в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отсутствуют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ИКС в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имеются для обеспечения рабочего места руководителя и бухгалтера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ИКС в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имеются для обеспечения рабочего места всех специалистов и служб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ИКС в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имеются для обеспечения рабочего места всех специалистов и служб, воспитателей, для организации ИКТ – образования дошкольников (компьютерный класс, интерактивная дока, мультимедийное устройство и т.п.)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9854" w:type="dxa"/>
            <w:gridSpan w:val="3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Финансовые условия</w:t>
            </w: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 Рост средней заработной платы педагогических работников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(за финансовый год)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рост средней заработной платы педагогов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средней заработной платы педагогов составляет менее 5%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средней заработной платы педагогов составляет от 5% до 10%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средней заработной платы педагогов составляет более 10 %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 Информация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 финансовом обеспечении,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представленная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 образовательной организации</w:t>
            </w:r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(согласно </w:t>
            </w:r>
            <w:proofErr w:type="gramEnd"/>
          </w:p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ст. 29 ФЗ-273)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 официальном сайте МБДОУ  отсутствует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 о финансовом обеспечении</w:t>
            </w:r>
          </w:p>
        </w:tc>
        <w:tc>
          <w:tcPr>
            <w:tcW w:w="1099" w:type="dxa"/>
          </w:tcPr>
          <w:p w:rsidR="004E20AC" w:rsidRPr="004E20AC" w:rsidRDefault="00F5690A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 официальном сайте МБДОУ  частично представлена информация о финансовом обеспечении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 МБДОУ  представлена не полная информация о финансовом обеспечении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на официальном сайте МБДОУ  представлена полная информация о финансовом обеспечении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каждой образовательной программе;</w:t>
            </w:r>
          </w:p>
          <w:p w:rsidR="004E20AC" w:rsidRPr="004E20AC" w:rsidRDefault="004E20AC" w:rsidP="004E20A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плана финансово-хозяйственной деятельности МБДОУ, утверждённого в установленном законодательством РФ порядке, или бюджетная сметы МБДОУ № 1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5.3 Рост объёма бюджетного финансирования образовательной организации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увеличение объёма финансирования по сравнению с предыдущим учебным годом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объёма финансирования составляет менее 5%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объёма финансирования составляет от 5% до 10%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объёма финансирования составляет более 10%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5.4 Доля фонда заработной платы на стимулирующую часть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стимулирующий фонд отсутствует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стимулирующий фонд составляет от 5% до 10%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стимулирующий фонд составляет от 10% до 20%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стимулирующий фонд составляет более 20%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 w:val="restart"/>
          </w:tcPr>
          <w:p w:rsidR="004E20AC" w:rsidRPr="004E20AC" w:rsidRDefault="004E20AC" w:rsidP="004E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5.5 Доля внебюджетных средств в общем объёме финансирования образовательной организации</w:t>
            </w: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внебюджетных средств составляет менее 5% от общего объема финансирования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внебюджетных средств составляет от 5% до 10% от общего объема финансирования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внебюджетных средств составляет от 10% до 20% от общего объема финансирования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2802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внебюджетных средств составляет более 20% от общего объема финансирования</w:t>
            </w:r>
          </w:p>
        </w:tc>
        <w:tc>
          <w:tcPr>
            <w:tcW w:w="109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E20AC" w:rsidRPr="004E20AC" w:rsidRDefault="004E20AC" w:rsidP="004E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20AC" w:rsidRPr="004E20AC" w:rsidRDefault="004E20AC" w:rsidP="004E20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>Обработка результатов мониторинга качества условий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1"/>
        <w:gridCol w:w="3299"/>
        <w:gridCol w:w="2134"/>
      </w:tblGrid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 по ФГОС</w:t>
            </w:r>
          </w:p>
        </w:tc>
        <w:tc>
          <w:tcPr>
            <w:tcW w:w="1674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показателей</w:t>
            </w:r>
          </w:p>
        </w:tc>
        <w:tc>
          <w:tcPr>
            <w:tcW w:w="1083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Максимальная </w:t>
            </w: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 баллов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Психолого-педагогические условия</w:t>
            </w:r>
          </w:p>
        </w:tc>
        <w:tc>
          <w:tcPr>
            <w:tcW w:w="1674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3" w:type="pct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5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         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Кадровые условия</w:t>
            </w:r>
          </w:p>
        </w:tc>
        <w:tc>
          <w:tcPr>
            <w:tcW w:w="1674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Развивающая предметно-развивающая среда</w:t>
            </w:r>
          </w:p>
        </w:tc>
        <w:tc>
          <w:tcPr>
            <w:tcW w:w="1674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1674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3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условия</w:t>
            </w:r>
          </w:p>
        </w:tc>
        <w:tc>
          <w:tcPr>
            <w:tcW w:w="1674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3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0AC" w:rsidRPr="004E20AC" w:rsidTr="00181EC8">
        <w:tc>
          <w:tcPr>
            <w:tcW w:w="2243" w:type="pct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всем условиям</w:t>
            </w:r>
          </w:p>
        </w:tc>
        <w:tc>
          <w:tcPr>
            <w:tcW w:w="1674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4E20A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30</w:t>
            </w: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3" w:type="pct"/>
            <w:vAlign w:val="bottom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</w:tbl>
    <w:p w:rsidR="004E20AC" w:rsidRPr="004E20AC" w:rsidRDefault="004E20AC" w:rsidP="004E20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sz w:val="28"/>
          <w:szCs w:val="28"/>
        </w:rPr>
        <w:t xml:space="preserve">Подсчитанное количество набранных МБДОУ  баллов переводится в процент от максимума по каждому показателю. </w:t>
      </w:r>
    </w:p>
    <w:p w:rsidR="008D02C9" w:rsidRPr="004E20AC" w:rsidRDefault="008D02C9" w:rsidP="008D0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E20AC">
        <w:rPr>
          <w:rFonts w:ascii="Times New Roman" w:eastAsia="Times New Roman" w:hAnsi="Times New Roman" w:cs="Times New Roman"/>
          <w:sz w:val="28"/>
        </w:rPr>
        <w:t xml:space="preserve">Основным механизмом оценки является измерение показателей по уровню их соответствия требованиям ФГОС </w:t>
      </w:r>
      <w:proofErr w:type="gramStart"/>
      <w:r w:rsidRPr="004E20AC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4E20AC">
        <w:rPr>
          <w:rFonts w:ascii="Times New Roman" w:eastAsia="Times New Roman" w:hAnsi="Times New Roman" w:cs="Times New Roman"/>
          <w:sz w:val="28"/>
        </w:rPr>
        <w:t>. Данное измерение предполагает как словесную форму, так и числовое выражение результата по шкале от 0 до 3 баллов.</w:t>
      </w:r>
    </w:p>
    <w:p w:rsidR="004E20AC" w:rsidRPr="004E20AC" w:rsidRDefault="004E20AC" w:rsidP="004E20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E20AC" w:rsidRPr="004E20AC" w:rsidRDefault="004E20AC" w:rsidP="004E20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мониторинга кач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ества условий реализации ФГОС МБДОУ № 1 «Насып»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1"/>
        <w:gridCol w:w="1039"/>
        <w:gridCol w:w="1236"/>
        <w:gridCol w:w="2382"/>
      </w:tblGrid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 по ФГОС</w:t>
            </w:r>
          </w:p>
        </w:tc>
        <w:tc>
          <w:tcPr>
            <w:tcW w:w="1039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Сумма </w:t>
            </w: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баллов</w:t>
            </w:r>
          </w:p>
        </w:tc>
        <w:tc>
          <w:tcPr>
            <w:tcW w:w="1236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Процент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Проблемные зоны</w:t>
            </w: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показателю 1. </w:t>
            </w:r>
          </w:p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Психолого-педагогические условия</w:t>
            </w:r>
          </w:p>
        </w:tc>
        <w:tc>
          <w:tcPr>
            <w:tcW w:w="1039" w:type="dxa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6" w:type="dxa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1.3,1.4,1.5</w:t>
            </w: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показателю 2. Кадровые условия</w:t>
            </w:r>
          </w:p>
        </w:tc>
        <w:tc>
          <w:tcPr>
            <w:tcW w:w="1039" w:type="dxa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6" w:type="dxa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показателю 3. </w:t>
            </w:r>
          </w:p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 предметно-развивающая среда</w:t>
            </w:r>
          </w:p>
        </w:tc>
        <w:tc>
          <w:tcPr>
            <w:tcW w:w="1039" w:type="dxa"/>
            <w:vAlign w:val="bottom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bottom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3.1,3.4</w:t>
            </w: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показателю 4. </w:t>
            </w:r>
          </w:p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1039" w:type="dxa"/>
            <w:vAlign w:val="bottom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6" w:type="dxa"/>
            <w:vAlign w:val="bottom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0A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показателю 5. </w:t>
            </w:r>
          </w:p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условия</w:t>
            </w:r>
          </w:p>
        </w:tc>
        <w:tc>
          <w:tcPr>
            <w:tcW w:w="1039" w:type="dxa"/>
            <w:vAlign w:val="bottom"/>
          </w:tcPr>
          <w:p w:rsidR="004E20AC" w:rsidRPr="004E20AC" w:rsidRDefault="00F5690A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bottom"/>
          </w:tcPr>
          <w:p w:rsidR="004E20AC" w:rsidRPr="004E20AC" w:rsidRDefault="00F5690A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5.2,5.5</w:t>
            </w:r>
          </w:p>
        </w:tc>
      </w:tr>
      <w:tr w:rsidR="004E20AC" w:rsidRPr="004E20AC" w:rsidTr="00181EC8">
        <w:tc>
          <w:tcPr>
            <w:tcW w:w="5191" w:type="dxa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всем условиям</w:t>
            </w:r>
          </w:p>
        </w:tc>
        <w:tc>
          <w:tcPr>
            <w:tcW w:w="1039" w:type="dxa"/>
            <w:vAlign w:val="bottom"/>
          </w:tcPr>
          <w:p w:rsidR="004E20AC" w:rsidRPr="004E20AC" w:rsidRDefault="00F5690A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36" w:type="dxa"/>
            <w:vAlign w:val="bottom"/>
          </w:tcPr>
          <w:p w:rsidR="004E20AC" w:rsidRPr="004E20AC" w:rsidRDefault="00F5690A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82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E20AC" w:rsidRPr="004E20AC" w:rsidRDefault="004E20AC" w:rsidP="004E20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сумма баллов по 30 показателям – 90. Подсчитанное количество набранных МБДОУ  баллов переводится в процент от этого максимума. В зависимости от процентного соотношения определяется качество условий реализации ООП </w:t>
      </w:r>
      <w:proofErr w:type="gramStart"/>
      <w:r w:rsidRPr="004E20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E20AC">
        <w:rPr>
          <w:rFonts w:ascii="Times New Roman" w:eastAsia="Times New Roman" w:hAnsi="Times New Roman" w:cs="Times New Roman"/>
          <w:sz w:val="28"/>
          <w:szCs w:val="28"/>
        </w:rPr>
        <w:t xml:space="preserve"> в рамках ФГОС</w:t>
      </w:r>
    </w:p>
    <w:p w:rsidR="004E20AC" w:rsidRPr="004E20AC" w:rsidRDefault="004E20AC" w:rsidP="004E20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>Значение результатов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5635"/>
      </w:tblGrid>
      <w:tr w:rsidR="004E20AC" w:rsidRPr="004E20AC" w:rsidTr="00181EC8">
        <w:tc>
          <w:tcPr>
            <w:tcW w:w="1951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баллов, %</w:t>
            </w:r>
          </w:p>
        </w:tc>
        <w:tc>
          <w:tcPr>
            <w:tcW w:w="226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</w:t>
            </w:r>
          </w:p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качества условий</w:t>
            </w:r>
          </w:p>
        </w:tc>
        <w:tc>
          <w:tcPr>
            <w:tcW w:w="5635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4E20AC" w:rsidRPr="004E20AC" w:rsidTr="00181EC8">
        <w:tc>
          <w:tcPr>
            <w:tcW w:w="1951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50%</w:t>
            </w:r>
          </w:p>
        </w:tc>
        <w:tc>
          <w:tcPr>
            <w:tcW w:w="226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5635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соответствуют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требованиям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 ДО и не позволяют обеспечить полноценное развитие личности воспитанников по всем образовательным областям.</w:t>
            </w:r>
          </w:p>
        </w:tc>
      </w:tr>
      <w:tr w:rsidR="004E20AC" w:rsidRPr="004E20AC" w:rsidTr="00181EC8">
        <w:tc>
          <w:tcPr>
            <w:tcW w:w="1951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51 до 79%</w:t>
            </w:r>
          </w:p>
        </w:tc>
        <w:tc>
          <w:tcPr>
            <w:tcW w:w="226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5635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 реализации основной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основном соответствуют требованиям ФГОС ДО, но не по всем образовательным областям позволяют обеспечить полноценное развитие личности воспитанников.</w:t>
            </w:r>
          </w:p>
        </w:tc>
      </w:tr>
      <w:tr w:rsidR="004E20AC" w:rsidRPr="004E20AC" w:rsidTr="00181EC8">
        <w:tc>
          <w:tcPr>
            <w:tcW w:w="1951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80 до 100%</w:t>
            </w:r>
          </w:p>
        </w:tc>
        <w:tc>
          <w:tcPr>
            <w:tcW w:w="226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5635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Условия реализации ООП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ДО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полностью соответствуют 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требованиям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ФГОС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4E20AC" w:rsidRPr="004E20AC" w:rsidRDefault="004E20AC" w:rsidP="004E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AC" w:rsidRPr="004E20AC" w:rsidRDefault="004E20AC" w:rsidP="004E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E20AC">
        <w:rPr>
          <w:rFonts w:ascii="Times New Roman" w:eastAsia="Times New Roman" w:hAnsi="Times New Roman" w:cs="Times New Roman"/>
          <w:sz w:val="28"/>
          <w:szCs w:val="26"/>
        </w:rPr>
        <w:t xml:space="preserve">На основании результатов мониторинга руководитель </w:t>
      </w:r>
      <w:r w:rsidRPr="004E20AC">
        <w:rPr>
          <w:rFonts w:ascii="Times New Roman" w:eastAsia="Times New Roman" w:hAnsi="Times New Roman" w:cs="Times New Roman"/>
          <w:sz w:val="28"/>
          <w:szCs w:val="28"/>
        </w:rPr>
        <w:t>МБДОУ </w:t>
      </w:r>
      <w:r w:rsidRPr="004E20AC">
        <w:rPr>
          <w:rFonts w:ascii="Times New Roman" w:eastAsia="Times New Roman" w:hAnsi="Times New Roman" w:cs="Times New Roman"/>
          <w:sz w:val="28"/>
          <w:szCs w:val="26"/>
        </w:rPr>
        <w:t xml:space="preserve"> принимает обоснованное управленческое решение, направленное на улучшение условий для обеспечения полноценного социально-коммуникативного, познавательного, речевого, художественно-эстетического и физического развития детей. </w:t>
      </w:r>
    </w:p>
    <w:p w:rsidR="004E20AC" w:rsidRPr="004E20AC" w:rsidRDefault="004E20AC" w:rsidP="004E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E20AC">
        <w:rPr>
          <w:rFonts w:ascii="Times New Roman" w:eastAsia="Times New Roman" w:hAnsi="Times New Roman" w:cs="Times New Roman"/>
          <w:sz w:val="28"/>
          <w:szCs w:val="26"/>
        </w:rPr>
        <w:t xml:space="preserve">Мониторинг </w:t>
      </w:r>
      <w:r w:rsidRPr="004E20AC">
        <w:rPr>
          <w:rFonts w:ascii="Times New Roman" w:eastAsia="Times New Roman" w:hAnsi="Times New Roman" w:cs="Times New Roman"/>
          <w:b/>
          <w:sz w:val="28"/>
          <w:szCs w:val="26"/>
        </w:rPr>
        <w:t>осуществляется не реже двух раз в год.</w:t>
      </w:r>
      <w:r w:rsidRPr="004E20AC">
        <w:rPr>
          <w:rFonts w:ascii="Times New Roman" w:eastAsia="Times New Roman" w:hAnsi="Times New Roman" w:cs="Times New Roman"/>
          <w:sz w:val="28"/>
          <w:szCs w:val="26"/>
        </w:rPr>
        <w:t xml:space="preserve"> Обработка данных выполняется в середине (декабрь – январь) и в конце (май – июнь) каждого учебного года.</w:t>
      </w:r>
    </w:p>
    <w:p w:rsidR="004E20AC" w:rsidRPr="004E20AC" w:rsidRDefault="004E20AC" w:rsidP="004E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Мониторинг качества условий реализации ФГОС </w:t>
      </w:r>
      <w:proofErr w:type="gramStart"/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>проведен</w:t>
      </w:r>
      <w:proofErr w:type="gramEnd"/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 xml:space="preserve"> 02.06.2020г и показатель  значения результатов МБДОУ № 1 «Насып» составляет </w:t>
      </w:r>
      <w:r w:rsidR="00F5690A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t>%, что соответствует  среднему уровню качества условий</w:t>
      </w:r>
      <w:r w:rsidRPr="004E20A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E20AC" w:rsidRPr="004E20AC" w:rsidRDefault="004E20AC" w:rsidP="004E2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20A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4E20AC" w:rsidRPr="004E20AC" w:rsidRDefault="004E20AC" w:rsidP="004E20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20AC">
        <w:rPr>
          <w:rFonts w:ascii="Times New Roman" w:eastAsia="Times New Roman" w:hAnsi="Times New Roman" w:cs="Times New Roman"/>
          <w:sz w:val="26"/>
          <w:szCs w:val="26"/>
        </w:rPr>
        <w:t>к психолого-педагогическим условиям, показатель 1.7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4686"/>
        <w:gridCol w:w="1564"/>
        <w:gridCol w:w="1563"/>
        <w:gridCol w:w="1563"/>
      </w:tblGrid>
      <w:tr w:rsidR="004E20AC" w:rsidRPr="004E20AC" w:rsidTr="00181EC8">
        <w:tc>
          <w:tcPr>
            <w:tcW w:w="478" w:type="dxa"/>
            <w:vMerge w:val="restar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86" w:type="dxa"/>
            <w:vMerge w:val="restart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психолого-педагогических условий в ДОУ</w:t>
            </w:r>
          </w:p>
        </w:tc>
        <w:tc>
          <w:tcPr>
            <w:tcW w:w="4690" w:type="dxa"/>
            <w:gridSpan w:val="3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4E20AC" w:rsidRPr="004E20AC" w:rsidTr="00181EC8">
        <w:tc>
          <w:tcPr>
            <w:tcW w:w="478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6" w:type="dxa"/>
            <w:vMerge/>
            <w:vAlign w:val="center"/>
          </w:tcPr>
          <w:p w:rsidR="004E20AC" w:rsidRPr="004E20AC" w:rsidRDefault="004E20AC" w:rsidP="004E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0AC">
              <w:rPr>
                <w:rFonts w:ascii="Times New Roman" w:eastAsia="Times New Roman" w:hAnsi="Times New Roman" w:cs="Times New Roman"/>
                <w:b/>
              </w:rPr>
              <w:t>соответствие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0AC">
              <w:rPr>
                <w:rFonts w:ascii="Times New Roman" w:eastAsia="Times New Roman" w:hAnsi="Times New Roman" w:cs="Times New Roman"/>
                <w:b/>
              </w:rPr>
              <w:t>частичное соответствие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0AC">
              <w:rPr>
                <w:rFonts w:ascii="Times New Roman" w:eastAsia="Times New Roman" w:hAnsi="Times New Roman" w:cs="Times New Roman"/>
                <w:b/>
              </w:rPr>
              <w:t>не соответствие</w:t>
            </w: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недопустимость</w:t>
            </w:r>
            <w:proofErr w:type="gramEnd"/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0AC" w:rsidRPr="004E20AC" w:rsidTr="00181EC8">
        <w:tc>
          <w:tcPr>
            <w:tcW w:w="478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86" w:type="dxa"/>
          </w:tcPr>
          <w:p w:rsidR="004E20AC" w:rsidRPr="004E20AC" w:rsidRDefault="004E20AC" w:rsidP="004E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1564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0A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E20AC" w:rsidRPr="004E20AC" w:rsidRDefault="004E20AC" w:rsidP="004E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E20AC" w:rsidRPr="004E20AC" w:rsidRDefault="004E20AC" w:rsidP="004E20A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AC" w:rsidRPr="004E20AC" w:rsidRDefault="004E20AC" w:rsidP="004E20AC">
      <w:pPr>
        <w:spacing w:after="0"/>
        <w:rPr>
          <w:rFonts w:ascii="Times New Roman" w:eastAsia="Times New Roman" w:hAnsi="Times New Roman" w:cs="Times New Roman"/>
        </w:rPr>
      </w:pPr>
    </w:p>
    <w:p w:rsidR="00F86CBC" w:rsidRDefault="00F86CBC"/>
    <w:sectPr w:rsidR="00F86CBC" w:rsidSect="00331A8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24" w:rsidRDefault="00427724">
      <w:pPr>
        <w:spacing w:after="0" w:line="240" w:lineRule="auto"/>
      </w:pPr>
      <w:r>
        <w:separator/>
      </w:r>
    </w:p>
  </w:endnote>
  <w:endnote w:type="continuationSeparator" w:id="0">
    <w:p w:rsidR="00427724" w:rsidRDefault="0042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24" w:rsidRDefault="00427724">
      <w:pPr>
        <w:spacing w:after="0" w:line="240" w:lineRule="auto"/>
      </w:pPr>
      <w:r>
        <w:separator/>
      </w:r>
    </w:p>
  </w:footnote>
  <w:footnote w:type="continuationSeparator" w:id="0">
    <w:p w:rsidR="00427724" w:rsidRDefault="0042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1" w:rsidRDefault="00427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AC"/>
    <w:rsid w:val="00427724"/>
    <w:rsid w:val="004E20AC"/>
    <w:rsid w:val="008D02C9"/>
    <w:rsid w:val="00C124BD"/>
    <w:rsid w:val="00F5690A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3316</Words>
  <Characters>18903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2020-06-02T07:33:00Z</dcterms:created>
  <dcterms:modified xsi:type="dcterms:W3CDTF">2020-06-02T08:57:00Z</dcterms:modified>
</cp:coreProperties>
</file>